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F1" w:rsidRDefault="00C85BF1" w:rsidP="0024462C">
      <w:pPr>
        <w:spacing w:after="0" w:line="276" w:lineRule="auto"/>
        <w:ind w:left="142"/>
        <w:jc w:val="both"/>
        <w:rPr>
          <w:b/>
        </w:rPr>
      </w:pPr>
      <w:r>
        <w:rPr>
          <w:b/>
        </w:rPr>
        <w:t xml:space="preserve">ONPP SAŠA </w:t>
      </w:r>
      <w:r w:rsidR="0024462C" w:rsidRPr="00D2104A">
        <w:rPr>
          <w:b/>
        </w:rPr>
        <w:t xml:space="preserve">Priloga 3:  </w:t>
      </w:r>
    </w:p>
    <w:p w:rsidR="0024462C" w:rsidRPr="00D2104A" w:rsidRDefault="0024462C" w:rsidP="0024462C">
      <w:pPr>
        <w:spacing w:after="0" w:line="276" w:lineRule="auto"/>
        <w:ind w:left="142"/>
        <w:jc w:val="both"/>
        <w:rPr>
          <w:rFonts w:ascii="Calibri" w:eastAsia="Calibri" w:hAnsi="Calibri" w:cs="Calibri"/>
          <w:b/>
          <w:lang w:eastAsia="sl-SI"/>
        </w:rPr>
      </w:pPr>
      <w:r w:rsidRPr="00D2104A">
        <w:rPr>
          <w:b/>
        </w:rPr>
        <w:t xml:space="preserve">1. </w:t>
      </w:r>
      <w:r w:rsidRPr="00D2104A">
        <w:rPr>
          <w:rFonts w:ascii="Calibri" w:eastAsia="Calibri" w:hAnsi="Calibri" w:cs="Calibri"/>
          <w:b/>
          <w:lang w:eastAsia="sl-SI"/>
        </w:rPr>
        <w:t>Osnutek procesa prehoda in opredelitev najbolj prizadetih območij v državi članici –celotno poglavje, vključno s tabelaričnimi in grafičnimi prikazi</w:t>
      </w:r>
    </w:p>
    <w:p w:rsidR="0024462C" w:rsidRDefault="0024462C" w:rsidP="0024462C">
      <w:pPr>
        <w:spacing w:before="120" w:after="0" w:line="276" w:lineRule="auto"/>
        <w:jc w:val="both"/>
        <w:rPr>
          <w:rFonts w:cstheme="minorHAnsi"/>
          <w:b/>
          <w:iCs/>
        </w:rPr>
      </w:pPr>
      <w:r w:rsidRPr="0024462C">
        <w:rPr>
          <w:rFonts w:cstheme="minorHAnsi"/>
          <w:i/>
        </w:rPr>
        <w:t>1.1. Osnutek pričakovanega prehoda na podnebno nevtralno gospodarstvo v skladu s cilji nacionalnih energetskih in podnebnih načrtov ter drugimi obstoječimi načrti za prehod s časovnico za prenehanje ali zmanjševanje dejavnosti, kot so rudarjenje premoga in lignita ali proizvodnja, ki uporablja električno energijo iz premoga</w:t>
      </w:r>
    </w:p>
    <w:p w:rsidR="0024462C" w:rsidRPr="0024462C" w:rsidRDefault="0024462C" w:rsidP="0024462C">
      <w:pPr>
        <w:spacing w:after="0" w:line="276" w:lineRule="auto"/>
        <w:ind w:left="750"/>
        <w:contextualSpacing/>
        <w:jc w:val="both"/>
        <w:rPr>
          <w:rFonts w:cstheme="minorHAnsi"/>
          <w:highlight w:val="yellow"/>
        </w:rPr>
      </w:pPr>
    </w:p>
    <w:p w:rsidR="0024462C" w:rsidRPr="0024462C" w:rsidRDefault="0024462C" w:rsidP="0024462C">
      <w:pPr>
        <w:spacing w:after="0" w:line="276" w:lineRule="auto"/>
        <w:jc w:val="both"/>
        <w:rPr>
          <w:rFonts w:cstheme="minorHAnsi"/>
        </w:rPr>
      </w:pPr>
      <w:r w:rsidRPr="0024462C">
        <w:rPr>
          <w:rFonts w:cstheme="minorHAnsi"/>
        </w:rPr>
        <w:t xml:space="preserve">Mejnike prehoda na podnebno nevtralno gospodarstvo postavljata Celoviti nacionalni energetski in podnebni načrt (v nadaljevanju: NEPN) in Nacionalna strategija za izstop iz premoga in prestrukturiranje premogovnih regij v skladu z načeli pravičnega prehoda (v nadaljevanju: NSPP).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NEPN določa, </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se zmanjša raba fosilnih virov energije in odvisnost od njihovega uvoza s postopnim opuščanjem rabe premoga: vsaj za 30 % do leta 2030 (NEPN, str. 21 in 31);</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do bo do leta 2030 z zaustavitvijo bloka 5 v Termoelektrarni Šoštanj (TEŠ) zmanjšan izkop lignita in opuščena raba uvoženega premoga za proizvodnjo električne energije v Energetiki Ljubljana, enota Termoelektrarna toplarna Ljubljana (NEPN, str. 57);</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bo natančni časovni načrt opuščanja rabe premoga v Sloveniji določen s strategijo za opuščanje rabe premoga in prestrukturiranje premogovnih regij v skladu z načelom pravičnega prehod (NEPN, str. 31 in 34),</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v deležu primarnih virov za proizvodnjo električne energije zmanjšani rabi fosilnih goriv (35 % v letu 2017 na 25 % v letu 2030), ob upoštevanju izboljšane energetske učinkovitosti (35 % do 2030), sledi večja raba obnovljivih virov energije (13 % v 2017 na 23 % v 2030), ohranja pa se delež jedrske energije;</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 xml:space="preserve">da se bo do 2030 proizvodnja električne energije z uporabo domačega premoga – lignita še ohranila.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Proces izstopa iz premoga se bo do leta 2033 izvrševal na dva načina, s postopnim zapiranjem proizvodnih kapacitet, ki koristijo premog in nameščanjem proizvodnih kapacitet iz OVE.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lastRenderedPageBreak/>
        <w:t>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objekta nacionalnega pomena in nadomeščanje njunih kapacitet bo izvedeno na nacionalnem nivoju, regija SAŠA pa bo v okviru pravičnega prehoda prispevala pomemben delež.</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Sorazmerno z zapiranjem proizvodnih kapacitet, ki temeljijo na premogu, se bo zmanjševal tudi izkop premoga v Premogovniku Velenje, ki bo po letu 2033 popolnoma ustavljen. Od kar je proizvodnja premoga v Premogovniku Velenje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obnovljivih virov (AGEN) in seznama elektrarn v samooskrbi (SODO).</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Predvideno letno zmanjšanje toplogrednih plinov (TGP) kot posledica zaprtja obeh blokov znaša približno 740 – 800 kt ekvivalenta CO</w:t>
      </w:r>
      <w:r w:rsidRPr="0024462C">
        <w:rPr>
          <w:rFonts w:cstheme="minorHAnsi"/>
          <w:vertAlign w:val="subscript"/>
        </w:rPr>
        <w:t>2</w:t>
      </w:r>
      <w:r w:rsidRPr="0024462C">
        <w:rPr>
          <w:rFonts w:cstheme="minorHAnsi"/>
        </w:rPr>
        <w:t xml:space="preserve"> za blok 5 in 2.300 – 2.700 kt za blok 6.</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ab/>
      </w:r>
      <w:r w:rsidRPr="0024462C">
        <w:rPr>
          <w:rFonts w:cstheme="minorHAnsi"/>
        </w:rPr>
        <w:tab/>
      </w:r>
      <w:r w:rsidRPr="0024462C">
        <w:rPr>
          <w:rFonts w:cstheme="minorHAnsi"/>
        </w:rPr>
        <w:tab/>
        <w:t>Ocenjene prihodnje emisije TGP v ekvivalentu CO</w:t>
      </w:r>
      <w:r w:rsidRPr="0024462C">
        <w:rPr>
          <w:rFonts w:cstheme="minorHAnsi"/>
          <w:vertAlign w:val="subscript"/>
        </w:rPr>
        <w:t>2</w:t>
      </w:r>
      <w:r w:rsidRPr="0024462C">
        <w:rPr>
          <w:rFonts w:cstheme="minorHAnsi"/>
        </w:rPr>
        <w:t xml:space="preserve"> v TEŠ </w:t>
      </w:r>
    </w:p>
    <w:tbl>
      <w:tblPr>
        <w:tblStyle w:val="Tabelamrea"/>
        <w:tblW w:w="7258" w:type="dxa"/>
        <w:tblInd w:w="963" w:type="dxa"/>
        <w:tblLayout w:type="fixed"/>
        <w:tblLook w:val="04A0" w:firstRow="1" w:lastRow="0" w:firstColumn="1" w:lastColumn="0" w:noHBand="0" w:noVBand="1"/>
      </w:tblPr>
      <w:tblGrid>
        <w:gridCol w:w="1304"/>
        <w:gridCol w:w="1134"/>
        <w:gridCol w:w="1134"/>
        <w:gridCol w:w="1134"/>
        <w:gridCol w:w="992"/>
        <w:gridCol w:w="1560"/>
      </w:tblGrid>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CO2 kt/leto</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2022</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2027</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2033</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2034</w:t>
            </w:r>
          </w:p>
        </w:tc>
      </w:tr>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Blok 5</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783,5</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746,0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0,0</w:t>
            </w:r>
          </w:p>
        </w:tc>
      </w:tr>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Blok 6</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2.664,0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2.488,0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2.326,0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2.326,0</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0,0</w:t>
            </w:r>
          </w:p>
        </w:tc>
      </w:tr>
    </w:tbl>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ab/>
      </w:r>
      <w:r w:rsidRPr="0024462C">
        <w:rPr>
          <w:rFonts w:cstheme="minorHAnsi"/>
        </w:rPr>
        <w:tab/>
      </w:r>
      <w:r w:rsidRPr="0024462C">
        <w:rPr>
          <w:rFonts w:cstheme="minorHAnsi"/>
        </w:rPr>
        <w:tab/>
      </w:r>
      <w:r w:rsidRPr="0024462C">
        <w:rPr>
          <w:rFonts w:cstheme="minorHAnsi"/>
        </w:rPr>
        <w:tab/>
        <w:t xml:space="preserve">             Vir: Inštitut Jožef Štefan</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Načrtovana je tudi gradnja hidroelektrarne Mokrice kot zadnje izmed petih hidroelektrarn na Spodnji Savi moči 28 MW. Gradnja se še ni začela. Najverjetneje ne bo dokončana v tem desetletju, ker poteka na sodišču že tretji upravni spor, ki ga je sprožilo društvo za preučevanje rib Slovenije.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w:t>
      </w:r>
      <w:r w:rsidRPr="0024462C">
        <w:rPr>
          <w:rFonts w:cstheme="minorHAnsi"/>
        </w:rPr>
        <w:lastRenderedPageBreak/>
        <w:t xml:space="preserve">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  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w:t>
      </w:r>
      <w:r w:rsidRPr="0024462C">
        <w:rPr>
          <w:rFonts w:cstheme="minorHAnsi"/>
          <w:vertAlign w:val="subscript"/>
        </w:rPr>
        <w:t>2</w:t>
      </w:r>
      <w:r w:rsidRPr="0024462C">
        <w:rPr>
          <w:rFonts w:cstheme="minorHAnsi"/>
        </w:rPr>
        <w:t xml:space="preserve">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sectPr w:rsidR="0024462C" w:rsidRPr="0024462C" w:rsidSect="002970DA">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08" w:footer="708" w:gutter="0"/>
          <w:pgNumType w:start="1"/>
          <w:cols w:space="708"/>
          <w:docGrid w:linePitch="360"/>
        </w:sect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lastRenderedPageBreak/>
        <w:t>Tabela: Predvidena ocena emisije CO</w:t>
      </w:r>
      <w:r w:rsidRPr="0024462C">
        <w:rPr>
          <w:rFonts w:cstheme="minorHAnsi"/>
          <w:vertAlign w:val="subscript"/>
        </w:rPr>
        <w:t>2</w:t>
      </w:r>
      <w:r w:rsidRPr="0024462C">
        <w:rPr>
          <w:rFonts w:cstheme="minorHAnsi"/>
        </w:rPr>
        <w:t xml:space="preserve"> (v kt) iz Bloka 5 in Bloka 6</w:t>
      </w:r>
    </w:p>
    <w:p w:rsidR="0024462C" w:rsidRPr="0024462C" w:rsidRDefault="0024462C" w:rsidP="0024462C">
      <w:pPr>
        <w:shd w:val="clear" w:color="auto" w:fill="FFFFFF" w:themeFill="background1"/>
        <w:spacing w:after="0" w:line="276" w:lineRule="auto"/>
        <w:jc w:val="both"/>
        <w:rPr>
          <w:rFonts w:cstheme="minorHAnsi"/>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gridCol w:w="960"/>
      </w:tblGrid>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2019</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2023</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2025</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1.342,3</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559,0</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988,7</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974,4</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960,1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808,5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796,0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783,5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758,5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2346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3337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2872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2770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2687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2664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2641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2596</w:t>
            </w:r>
          </w:p>
        </w:tc>
      </w:tr>
      <w:tr w:rsidR="0024462C" w:rsidRPr="0024462C" w:rsidTr="002E29C3">
        <w:trPr>
          <w:trHeight w:val="576"/>
        </w:trPr>
        <w:tc>
          <w:tcPr>
            <w:tcW w:w="2860"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2346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3337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2872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2770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2687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2664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2641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2596</w:t>
            </w:r>
          </w:p>
        </w:tc>
      </w:tr>
    </w:tbl>
    <w:p w:rsidR="0024462C" w:rsidRPr="0024462C" w:rsidRDefault="0024462C" w:rsidP="0024462C">
      <w:pPr>
        <w:shd w:val="clear" w:color="auto" w:fill="FFFFFF" w:themeFill="background1"/>
        <w:spacing w:after="0" w:line="276" w:lineRule="auto"/>
        <w:jc w:val="both"/>
        <w:rPr>
          <w:rFonts w:cstheme="minorHAnsi"/>
        </w:rPr>
      </w:pPr>
    </w:p>
    <w:tbl>
      <w:tblPr>
        <w:tblW w:w="1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tblGrid>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2029</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2033</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2035</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2542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2488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2380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2247</w:t>
            </w:r>
          </w:p>
        </w:tc>
      </w:tr>
      <w:tr w:rsidR="0024462C" w:rsidRPr="0024462C" w:rsidTr="002E29C3">
        <w:trPr>
          <w:trHeight w:val="576"/>
        </w:trPr>
        <w:tc>
          <w:tcPr>
            <w:tcW w:w="2860"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2542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2488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2380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bl>
    <w:p w:rsidR="0024462C" w:rsidRPr="0024462C" w:rsidRDefault="0024462C" w:rsidP="0024462C">
      <w:pPr>
        <w:shd w:val="clear" w:color="auto" w:fill="FFFFFF" w:themeFill="background1"/>
        <w:spacing w:after="0" w:line="276" w:lineRule="auto"/>
        <w:jc w:val="both"/>
        <w:rPr>
          <w:rFonts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465"/>
        <w:gridCol w:w="806"/>
        <w:gridCol w:w="709"/>
        <w:gridCol w:w="709"/>
        <w:gridCol w:w="708"/>
        <w:gridCol w:w="851"/>
        <w:gridCol w:w="709"/>
        <w:gridCol w:w="708"/>
        <w:gridCol w:w="709"/>
        <w:gridCol w:w="851"/>
        <w:gridCol w:w="708"/>
        <w:gridCol w:w="709"/>
        <w:gridCol w:w="709"/>
        <w:gridCol w:w="709"/>
        <w:gridCol w:w="708"/>
        <w:gridCol w:w="851"/>
      </w:tblGrid>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2037</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2039</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2041</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2042</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2043</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2044</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2045</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2047</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2049</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2050</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2231</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2214</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2198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2181</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2165</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2126</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2086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2047</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2007</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r w:rsidR="0024462C" w:rsidRPr="0024462C" w:rsidTr="002E29C3">
        <w:trPr>
          <w:trHeight w:val="576"/>
        </w:trPr>
        <w:tc>
          <w:tcPr>
            <w:tcW w:w="2835"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bl>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autoSpaceDE w:val="0"/>
        <w:autoSpaceDN w:val="0"/>
        <w:adjustRightInd w:val="0"/>
        <w:spacing w:after="0" w:line="276" w:lineRule="auto"/>
        <w:jc w:val="both"/>
        <w:rPr>
          <w:rFonts w:ascii="Calibri" w:eastAsia="Calibri" w:hAnsi="Calibri" w:cs="Calibri"/>
          <w:color w:val="000000"/>
        </w:rPr>
        <w:sectPr w:rsidR="0024462C" w:rsidRPr="0024462C" w:rsidSect="003C7E95">
          <w:pgSz w:w="16838" w:h="11906" w:orient="landscape" w:code="9"/>
          <w:pgMar w:top="1417" w:right="1417" w:bottom="1417" w:left="1134" w:header="708" w:footer="708" w:gutter="0"/>
          <w:cols w:space="708"/>
          <w:docGrid w:linePitch="360"/>
        </w:sectPr>
      </w:pPr>
    </w:p>
    <w:p w:rsidR="0024462C" w:rsidRDefault="0024462C" w:rsidP="0024462C">
      <w:pPr>
        <w:spacing w:after="0" w:line="276" w:lineRule="auto"/>
        <w:contextualSpacing/>
        <w:jc w:val="both"/>
        <w:rPr>
          <w:rFonts w:cstheme="minorHAnsi"/>
          <w:i/>
        </w:rPr>
      </w:pPr>
      <w:r w:rsidRPr="0024462C">
        <w:rPr>
          <w:rFonts w:cstheme="minorHAnsi"/>
          <w:i/>
        </w:rPr>
        <w:lastRenderedPageBreak/>
        <w:t>1.2. Opredelitev območij, za katera se pričakuje, da bodo najbolj prizadeta, in utemeljitev te opredelitve z ustrezno oceno gospodarskih in zaposlitvenih učinkov na podlagi osnutka oddelka 1.1.</w:t>
      </w:r>
    </w:p>
    <w:p w:rsidR="0024462C" w:rsidRPr="0024462C" w:rsidRDefault="0024462C" w:rsidP="0024462C">
      <w:pPr>
        <w:spacing w:after="0" w:line="276" w:lineRule="auto"/>
        <w:contextualSpacing/>
        <w:jc w:val="both"/>
        <w:rPr>
          <w:rFonts w:cstheme="minorHAnsi"/>
        </w:rPr>
      </w:pPr>
    </w:p>
    <w:p w:rsidR="0024462C" w:rsidRPr="0024462C" w:rsidRDefault="0024462C" w:rsidP="0024462C">
      <w:pPr>
        <w:pBdr>
          <w:top w:val="nil"/>
          <w:left w:val="nil"/>
          <w:bottom w:val="nil"/>
          <w:right w:val="nil"/>
          <w:between w:val="nil"/>
        </w:pBdr>
        <w:spacing w:after="0" w:line="276" w:lineRule="auto"/>
        <w:jc w:val="both"/>
        <w:rPr>
          <w:rFonts w:ascii="Calibri" w:eastAsia="Calibri" w:hAnsi="Calibri" w:cs="Calibri"/>
          <w:color w:val="000000"/>
        </w:rPr>
      </w:pPr>
      <w:r w:rsidRPr="0024462C">
        <w:rPr>
          <w:rFonts w:ascii="Calibri" w:eastAsia="Calibri" w:hAnsi="Calibri" w:cs="Calibri"/>
          <w:color w:val="000000"/>
        </w:rPr>
        <w:t xml:space="preserve">V okviru Poročila o semestru 2020 je Evropska komisija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Savinjsko-Šaleška. </w:t>
      </w:r>
    </w:p>
    <w:p w:rsidR="0024462C" w:rsidRPr="0024462C" w:rsidRDefault="0024462C" w:rsidP="0024462C">
      <w:pPr>
        <w:spacing w:after="0" w:line="276" w:lineRule="auto"/>
        <w:jc w:val="both"/>
        <w:rPr>
          <w:rFonts w:cs="Times New Roman"/>
        </w:rPr>
      </w:pPr>
    </w:p>
    <w:p w:rsidR="0024462C" w:rsidRPr="0024462C" w:rsidRDefault="0024462C" w:rsidP="0024462C">
      <w:pPr>
        <w:spacing w:after="0" w:line="276" w:lineRule="auto"/>
        <w:jc w:val="both"/>
        <w:rPr>
          <w:rFonts w:cstheme="minorHAnsi"/>
        </w:rPr>
      </w:pPr>
      <w:r w:rsidRPr="0024462C">
        <w:rPr>
          <w:rFonts w:cstheme="minorHAnsi"/>
        </w:rPr>
        <w:t>Nacionalna strategija za izstop iz premoga in prestrukturiranje premogovnih regij, ki je bila sprejeta 13. januarja 2022, prepoznava Zasavje in Savinjsko Šaleško regijo kot dve premogovni regiji, ki ju je treba prestrukturirati v skladu z načeli pravičnega prehoda.</w:t>
      </w:r>
    </w:p>
    <w:p w:rsidR="0024462C" w:rsidRDefault="0024462C" w:rsidP="0024462C">
      <w:pPr>
        <w:spacing w:after="0" w:line="276" w:lineRule="auto"/>
        <w:jc w:val="both"/>
        <w:rPr>
          <w:rFonts w:cs="Times New Roman"/>
        </w:rPr>
      </w:pPr>
    </w:p>
    <w:p w:rsidR="009726F9" w:rsidRPr="0024462C" w:rsidRDefault="009726F9" w:rsidP="0024462C">
      <w:pPr>
        <w:spacing w:after="0" w:line="276" w:lineRule="auto"/>
        <w:jc w:val="both"/>
        <w:rPr>
          <w:rFonts w:cs="Times New Roman"/>
        </w:rPr>
      </w:pPr>
    </w:p>
    <w:p w:rsidR="0024462C" w:rsidRPr="0024462C" w:rsidRDefault="0024462C" w:rsidP="0024462C">
      <w:pPr>
        <w:spacing w:after="0" w:line="276" w:lineRule="auto"/>
        <w:jc w:val="both"/>
        <w:rPr>
          <w:rFonts w:cstheme="minorHAnsi"/>
        </w:rPr>
      </w:pPr>
      <w:r w:rsidRPr="0024462C">
        <w:rPr>
          <w:rFonts w:cs="Times New Roman"/>
        </w:rPr>
        <w:t xml:space="preserve">V </w:t>
      </w:r>
      <w:r w:rsidRPr="007043D2">
        <w:rPr>
          <w:rFonts w:cs="Times New Roman"/>
          <w:b/>
        </w:rPr>
        <w:t xml:space="preserve">SAŠA premogovni regiji </w:t>
      </w:r>
      <w:r w:rsidRPr="0024462C">
        <w:rPr>
          <w:rFonts w:cs="Times New Roman"/>
        </w:rPr>
        <w:t>premogovnik in termoelektrarna še obratujeta. Njuna vloga je pomembna tako z vidika zagotavljanja delovnih mest</w:t>
      </w:r>
      <w:r w:rsidRPr="0024462C">
        <w:rPr>
          <w:rFonts w:cstheme="minorHAnsi"/>
        </w:rPr>
        <w:t xml:space="preserve"> kot </w:t>
      </w:r>
      <w:r w:rsidRPr="0024462C">
        <w:rPr>
          <w:rFonts w:cs="Times New Roman"/>
        </w:rPr>
        <w:t>zanesljive oskrbe z električno energijo.</w:t>
      </w:r>
      <w:r w:rsidRPr="0024462C">
        <w:rPr>
          <w:rFonts w:cstheme="minorHAnsi"/>
        </w:rPr>
        <w:t xml:space="preserve"> </w:t>
      </w:r>
      <w:r w:rsidRPr="0024462C">
        <w:rPr>
          <w:rFonts w:ascii="Calibri" w:eastAsia="Calibri" w:hAnsi="Calibri" w:cs="Calibri"/>
          <w:color w:val="000000"/>
        </w:rPr>
        <w:t xml:space="preserve">NSPP ugotavlja, da ima proizvodnja energije v TEŠ pomembno vlogo v nacionalni mešanici energetskih virov, saj </w:t>
      </w:r>
      <w:r w:rsidRPr="0024462C">
        <w:rPr>
          <w:rFonts w:cstheme="minorHAnsi"/>
        </w:rPr>
        <w:t>v povprečju proizvede okrog 35 % električne energije v državi, v sušnih obdobjih pa preko polovico porabe.</w:t>
      </w:r>
      <w:r w:rsidRPr="0024462C">
        <w:rPr>
          <w:rFonts w:ascii="Calibri" w:eastAsia="Calibri" w:hAnsi="Calibri" w:cs="Calibri"/>
          <w:color w:val="000000"/>
        </w:rPr>
        <w:t xml:space="preserve"> </w:t>
      </w:r>
      <w:r w:rsidRPr="0024462C">
        <w:rPr>
          <w:rFonts w:cstheme="minorHAnsi"/>
        </w:rPr>
        <w:t xml:space="preserve">Proizvodnja rudnika, ki je odvisna predvsem od porabe termoelektrarne se giblje okrog 3,5 milijona ton lignita letno.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Pri analiziranju neposrednega vpliva na zaposlitveno strukturo je bil predmet primerjave število zaposlenih v premogovniški industriji kot absolutno število na občino in kot relativno število (odstotek aktivne delovne sile na občino). Skupino Premogovnik Velenje, sestavljajo štiri povezana podjetja, ki so sredi leta zaposlovala 1.895 oseb, večina od njih je imela registrirano stalno prebivališče v občinah (Velenje, Šoštanj, Mislinja, Šmartno ob Paki).</w:t>
      </w:r>
      <w:r w:rsidRPr="0024462C">
        <w:rPr>
          <w:rFonts w:cstheme="minorHAnsi"/>
          <w:vertAlign w:val="superscript"/>
        </w:rPr>
        <w:footnoteReference w:id="1"/>
      </w:r>
      <w:r w:rsidRPr="0024462C">
        <w:rPr>
          <w:rFonts w:cstheme="minorHAnsi"/>
        </w:rPr>
        <w:t xml:space="preserve"> Od tega je bilo 1.691 zaposlenih samo iz občinah Velenje in Šoštanj. Glede na odstotek delovno aktivnih prebivalcev, zaposlenih v premogovništvu, izstopajo 3 občine (Velenje, Šoštanj in Šmartno ob Paki), kjer ta sektor neposredno zaposluje med 7 % in 12,5 % delovno aktivnega prebivalstva. Leta 2018 so prebivalci teh treh občin predstavljali kar 78 % vseh neposredno zaposlenih v lokalni premogovniški in energetski industriji.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Drug pomemben vidik vpliva premogovniške industrije na regijo in občine je gospodarski. Analiza kumulativnega obsega transakcij med subjekti premogovništva (PV in TEŠ) in podjetji iz lokalnega poslovnega okolja, pokaže da je po absolutni kumulativna vrednost transakcij med subjekti premogovniške industrije in lokalnimi podjetji (na občino in 3 letno povprečje; 2017-2019) izstopata občini Velenje in Šoštanj. Relativna odvisnost lokalnega poslovnega okolja pa je velika v občinah Velenje, Šoštanj in Šmartno ob Paki (1,1 do 11,8 % celotnega prihodka vseh gospodarskih družb v občini v letu 2018 predstavlja prihodek od premogovne industrije). Poslovno okolje Mislinje ima le manjše neposredne poslovne vezi s premogovno industrijo.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Za opredelitev območja vpliva premogovniške industrije je bil v analizi, izvedeni ob pripravi akcijskega načrta</w:t>
      </w:r>
      <w:r w:rsidRPr="0024462C">
        <w:rPr>
          <w:rFonts w:cstheme="minorHAnsi"/>
          <w:vertAlign w:val="superscript"/>
        </w:rPr>
        <w:footnoteReference w:id="2"/>
      </w:r>
      <w:r w:rsidRPr="0024462C">
        <w:rPr>
          <w:rFonts w:cstheme="minorHAnsi"/>
        </w:rPr>
        <w:t xml:space="preserve"> upoštevan gospodarski vpliv na strukturo zaposlovanja in na podporo poslovnemu okolju. Območje treh občin </w:t>
      </w:r>
      <w:r w:rsidRPr="0024462C">
        <w:rPr>
          <w:rFonts w:cstheme="minorHAnsi"/>
          <w:b/>
        </w:rPr>
        <w:t xml:space="preserve">Velenje, Šoštanj in Šmartno ob Paki </w:t>
      </w:r>
      <w:r w:rsidRPr="0024462C">
        <w:rPr>
          <w:rFonts w:cstheme="minorHAnsi"/>
        </w:rPr>
        <w:t xml:space="preserve">je bilo, je in bo tudi v prihodnje najbolj </w:t>
      </w:r>
      <w:r w:rsidRPr="0024462C">
        <w:rPr>
          <w:rFonts w:cstheme="minorHAnsi"/>
        </w:rPr>
        <w:lastRenderedPageBreak/>
        <w:t xml:space="preserve">izpostavljeno spremembam okolja in s tem povezanim tveganjem. V tem območju je leta 2020 živelo 17,4 % oziroma 45.799 prebivalcev celotne Savinjske regije. Glede na zgodovinsko povezanost predstavljajo te tri občine celovito enoto, zato to območje </w:t>
      </w:r>
      <w:r w:rsidRPr="0024462C">
        <w:rPr>
          <w:rFonts w:cstheme="minorHAnsi"/>
          <w:b/>
        </w:rPr>
        <w:t xml:space="preserve">opredeljujemo kot ožje vplivno območje. </w:t>
      </w:r>
      <w:r w:rsidRPr="0024462C">
        <w:rPr>
          <w:rFonts w:cstheme="minorHAnsi"/>
        </w:rPr>
        <w:t>Celotna SAŠA premogovna regija pa vključuje</w:t>
      </w:r>
      <w:r w:rsidRPr="0024462C">
        <w:rPr>
          <w:rFonts w:cstheme="minorHAnsi"/>
          <w:b/>
        </w:rPr>
        <w:t xml:space="preserve"> </w:t>
      </w:r>
      <w:r w:rsidRPr="0024462C">
        <w:rPr>
          <w:rFonts w:cstheme="minorHAnsi"/>
          <w:lang w:eastAsia="sl-SI"/>
        </w:rPr>
        <w:t xml:space="preserve">zaokroženo </w:t>
      </w:r>
      <w:r w:rsidRPr="0024462C">
        <w:rPr>
          <w:rFonts w:cstheme="minorHAnsi"/>
          <w:b/>
          <w:lang w:eastAsia="sl-SI"/>
        </w:rPr>
        <w:t xml:space="preserve">celoto desetih občin </w:t>
      </w:r>
      <w:r w:rsidRPr="0024462C">
        <w:rPr>
          <w:rFonts w:cstheme="minorHAnsi"/>
          <w:lang w:eastAsia="sl-SI"/>
        </w:rPr>
        <w:t>(</w:t>
      </w:r>
      <w:r w:rsidRPr="0024462C">
        <w:rPr>
          <w:rFonts w:cstheme="minorHAnsi"/>
        </w:rPr>
        <w:t xml:space="preserve">občine Gornji Grad, Ljubno, Luče, Mozirje, Nazarje, Rečica ob Savinji, Solčava, Šmartno ob Paki, Šoštanj in Mestna občina Velenje in je opredeljena kot širše vplivno območje) v katerih je leta 2020 živelo kar 25,5 % oziroma 67.172 prebivalcev celotne Savinjske regije. Na tem </w:t>
      </w:r>
      <w:r w:rsidRPr="0024462C">
        <w:rPr>
          <w:rFonts w:cstheme="minorHAnsi"/>
          <w:b/>
        </w:rPr>
        <w:t>širšem vplivnem območju</w:t>
      </w:r>
      <w:r w:rsidRPr="0024462C">
        <w:rPr>
          <w:rFonts w:cstheme="minorHAnsi"/>
          <w:lang w:eastAsia="sl-SI"/>
        </w:rPr>
        <w:t xml:space="preserve"> so se vzpostavile močne zgodovinske, gospodarske in kulturne vezi, ki se dnevno prepletajo na številnih ravneh javnega in zasebnega življenja.</w:t>
      </w:r>
      <w:r w:rsidRPr="0024462C">
        <w:rPr>
          <w:rFonts w:cstheme="minorHAnsi"/>
          <w:b/>
        </w:rPr>
        <w:t xml:space="preserve"> </w:t>
      </w:r>
      <w:r w:rsidRPr="0024462C">
        <w:rPr>
          <w:rFonts w:cstheme="minorHAnsi"/>
          <w:lang w:eastAsia="sl-SI"/>
        </w:rPr>
        <w:t xml:space="preserve">Ključni strateški cilji ter nadaljnji ukrepi pravičnega prehoda so usmerjeni v ustvarjanje pozitivnih vplivov na ožje vplivno območje, pri čemer se ti vplivi lahko dosegajo z izvajanjem ukrepov </w:t>
      </w:r>
      <w:r w:rsidRPr="0024462C">
        <w:rPr>
          <w:rFonts w:cstheme="minorHAnsi"/>
        </w:rPr>
        <w:t>znotraj</w:t>
      </w:r>
      <w:r w:rsidRPr="0024462C">
        <w:rPr>
          <w:rFonts w:cstheme="minorHAnsi"/>
          <w:lang w:eastAsia="sl-SI"/>
        </w:rPr>
        <w:t xml:space="preserve"> celotne SAŠA premogovne regije.</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ascii="Calibri" w:eastAsia="Calibri" w:hAnsi="Calibri" w:cs="Calibri"/>
        </w:rPr>
      </w:pPr>
      <w:r w:rsidRPr="0024462C">
        <w:rPr>
          <w:rFonts w:cstheme="minorHAnsi"/>
        </w:rPr>
        <w:t xml:space="preserve">V Sloveniji je SAŠA na čelu med regijami, ko gre za vprašanje emisij toplogrednih plinov (TGP), kljub relativno majhnemu številu prebivalcev. Verificirane emisije TGP so leta 2019 znašale okoli 3,8 mio ton </w:t>
      </w:r>
      <w:r w:rsidRPr="0024462C">
        <w:rPr>
          <w:rFonts w:ascii="Calibri" w:eastAsia="Calibri" w:hAnsi="Calibri" w:cs="Calibri"/>
        </w:rPr>
        <w:t>CO</w:t>
      </w:r>
      <w:r w:rsidRPr="0024462C">
        <w:rPr>
          <w:rFonts w:ascii="Calibri" w:eastAsia="Calibri" w:hAnsi="Calibri" w:cs="Calibri"/>
          <w:vertAlign w:val="subscript"/>
        </w:rPr>
        <w:t xml:space="preserve">2e </w:t>
      </w:r>
      <w:r w:rsidRPr="0024462C">
        <w:rPr>
          <w:rFonts w:ascii="Calibri" w:eastAsia="Calibri" w:hAnsi="Calibri" w:cs="Calibri"/>
        </w:rPr>
        <w:t xml:space="preserve"> in so znašale več kot 50 % nacionalne vrednosti verificiranih emisij (6,3 mio t CO</w:t>
      </w:r>
      <w:r w:rsidRPr="0024462C">
        <w:rPr>
          <w:rFonts w:ascii="Calibri" w:eastAsia="Calibri" w:hAnsi="Calibri" w:cs="Calibri"/>
          <w:vertAlign w:val="subscript"/>
        </w:rPr>
        <w:t>2e</w:t>
      </w:r>
      <w:r w:rsidRPr="0024462C">
        <w:rPr>
          <w:rFonts w:ascii="Calibri" w:eastAsia="Calibri" w:hAnsi="Calibri" w:cs="Calibri"/>
        </w:rPr>
        <w:t>) in vse so posledica delovanja Termoelektrarne Šoštanj. Nacionalni cilji za dekarbonizacijo zato za regijo predstavljajo nesorazmerno breme.</w:t>
      </w:r>
      <w:r w:rsidRPr="0024462C">
        <w:rPr>
          <w:rFonts w:ascii="Calibri" w:eastAsia="Calibri" w:hAnsi="Calibri" w:cs="Calibri"/>
          <w:vertAlign w:val="superscript"/>
        </w:rPr>
        <w:footnoteReference w:id="3"/>
      </w:r>
      <w:r w:rsidRPr="0024462C">
        <w:rPr>
          <w:rFonts w:ascii="Calibri" w:eastAsia="Calibri" w:hAnsi="Calibri" w:cs="Calibri"/>
        </w:rPr>
        <w:t xml:space="preserve"> </w:t>
      </w:r>
    </w:p>
    <w:p w:rsidR="0024462C" w:rsidRPr="0024462C" w:rsidRDefault="0024462C" w:rsidP="0024462C">
      <w:pPr>
        <w:spacing w:after="0" w:line="276" w:lineRule="auto"/>
        <w:jc w:val="both"/>
        <w:rPr>
          <w:rFonts w:ascii="Calibri" w:eastAsia="Calibri" w:hAnsi="Calibri" w:cs="Calibri"/>
        </w:rPr>
      </w:pPr>
    </w:p>
    <w:p w:rsidR="0024462C" w:rsidRPr="0024462C" w:rsidRDefault="0024462C" w:rsidP="0024462C">
      <w:pPr>
        <w:spacing w:after="0" w:line="276" w:lineRule="auto"/>
        <w:jc w:val="both"/>
        <w:rPr>
          <w:rFonts w:cstheme="minorHAnsi"/>
        </w:rPr>
      </w:pPr>
      <w:r w:rsidRPr="0024462C">
        <w:rPr>
          <w:rFonts w:ascii="Times New Roman" w:hAnsi="Times New Roman" w:cs="Times New Roman"/>
          <w:noProof/>
          <w:sz w:val="24"/>
          <w:lang w:eastAsia="sl-SI"/>
        </w:rPr>
        <w:drawing>
          <wp:inline distT="0" distB="0" distL="0" distR="0" wp14:anchorId="047EF772" wp14:editId="15E790EE">
            <wp:extent cx="5760720" cy="29870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987040"/>
                    </a:xfrm>
                    <a:prstGeom prst="rect">
                      <a:avLst/>
                    </a:prstGeom>
                  </pic:spPr>
                </pic:pic>
              </a:graphicData>
            </a:graphic>
          </wp:inline>
        </w:drawing>
      </w:r>
    </w:p>
    <w:p w:rsidR="0024462C" w:rsidRPr="0024462C" w:rsidRDefault="0024462C" w:rsidP="0024462C">
      <w:pPr>
        <w:spacing w:after="0" w:line="276" w:lineRule="auto"/>
        <w:jc w:val="both"/>
        <w:rPr>
          <w:rFonts w:cstheme="minorHAnsi"/>
        </w:rPr>
      </w:pPr>
      <w:r w:rsidRPr="0024462C">
        <w:rPr>
          <w:rFonts w:ascii="Times New Roman" w:hAnsi="Times New Roman" w:cs="Times New Roman"/>
          <w:i/>
          <w:iCs/>
          <w:sz w:val="18"/>
          <w:szCs w:val="18"/>
        </w:rPr>
        <w:t xml:space="preserve">Slika 1: regionalne in nacionalne verificirane emisije v tonah </w:t>
      </w:r>
      <w:r w:rsidRPr="0024462C">
        <w:rPr>
          <w:rFonts w:ascii="Calibri" w:eastAsia="Calibri" w:hAnsi="Calibri" w:cs="Calibri"/>
          <w:i/>
          <w:sz w:val="18"/>
          <w:szCs w:val="18"/>
        </w:rPr>
        <w:t>CO</w:t>
      </w:r>
      <w:r w:rsidRPr="0024462C">
        <w:rPr>
          <w:rFonts w:ascii="Calibri" w:eastAsia="Calibri" w:hAnsi="Calibri" w:cs="Calibri"/>
          <w:i/>
          <w:sz w:val="18"/>
          <w:szCs w:val="18"/>
          <w:vertAlign w:val="subscript"/>
        </w:rPr>
        <w:t>2</w:t>
      </w:r>
      <w:r w:rsidRPr="0024462C">
        <w:rPr>
          <w:rFonts w:ascii="Times New Roman" w:hAnsi="Times New Roman" w:cs="Times New Roman"/>
          <w:i/>
          <w:iCs/>
          <w:sz w:val="18"/>
          <w:szCs w:val="18"/>
        </w:rPr>
        <w:t xml:space="preserve"> (Vir Deloitte)</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contextualSpacing/>
        <w:jc w:val="both"/>
        <w:rPr>
          <w:rFonts w:eastAsia="Times New Roman" w:cstheme="minorHAnsi"/>
        </w:rPr>
      </w:pPr>
      <w:r w:rsidRPr="0024462C">
        <w:rPr>
          <w:rFonts w:ascii="Calibri" w:eastAsia="Calibri" w:hAnsi="Calibri" w:cs="Calibri"/>
          <w:color w:val="000000"/>
        </w:rPr>
        <w:t xml:space="preserve">Dolga rudarska tradicija je poleg gospodarske odvisnosti pomembno vplivala tudi na lokalno družbo in vedenjske vzorce lokalnega prebivalstva, ki nima izrazite podjetniške miselnosti  in ni pripravljeno spreminjati kariernih poti. Premogovništvo je v regiji pustilo tudi negativne okoljske vplive. Med drugim so kot posledica posedanja terena v regiji nastala tri umetna jezera. </w:t>
      </w:r>
      <w:r w:rsidRPr="0024462C">
        <w:rPr>
          <w:rFonts w:cs="Times New Roman"/>
        </w:rPr>
        <w:t xml:space="preserve">Nasip med Velenjskim in Družmirskim jezerom, </w:t>
      </w:r>
      <w:r w:rsidRPr="0024462C">
        <w:rPr>
          <w:rFonts w:eastAsia="Times New Roman" w:cstheme="minorHAnsi"/>
        </w:rPr>
        <w:t xml:space="preserve">ki je še vedno zelo izpostavljeno ugrezanju, zato je njegova dokončna podoba še v nastajanju. </w:t>
      </w:r>
      <w:r w:rsidRPr="0024462C">
        <w:rPr>
          <w:rFonts w:cs="Times New Roman"/>
        </w:rPr>
        <w:t>Pregrada, ki meri 80 ha, ima pomembno vlogo pri zagotavljanju poplavne varnosti</w:t>
      </w:r>
      <w:r w:rsidRPr="0024462C">
        <w:rPr>
          <w:rFonts w:eastAsia="Times New Roman" w:cstheme="minorHAnsi"/>
        </w:rPr>
        <w:t>, ker preprečuje zlitje Družmirskega in razlitje Velenjskega jezera. Območje pregrade ni stabilno, saj se ta</w:t>
      </w:r>
      <w:r w:rsidRPr="0024462C">
        <w:rPr>
          <w:rFonts w:cs="Times New Roman"/>
        </w:rPr>
        <w:t xml:space="preserve"> nahaja nad odkopno jamo Preloge</w:t>
      </w:r>
      <w:r w:rsidRPr="0024462C">
        <w:rPr>
          <w:rFonts w:eastAsia="Times New Roman" w:cstheme="minorHAnsi"/>
        </w:rPr>
        <w:t xml:space="preserve"> </w:t>
      </w:r>
      <w:r w:rsidRPr="0024462C">
        <w:rPr>
          <w:rFonts w:cs="Times New Roman"/>
        </w:rPr>
        <w:t xml:space="preserve">(ta bo postopno zaprta do leta 2025) </w:t>
      </w:r>
      <w:r w:rsidRPr="0024462C">
        <w:rPr>
          <w:rFonts w:eastAsia="Times New Roman" w:cstheme="minorHAnsi"/>
        </w:rPr>
        <w:t xml:space="preserve">je del območja sanacije </w:t>
      </w:r>
      <w:r w:rsidRPr="0024462C">
        <w:rPr>
          <w:rFonts w:eastAsia="Times New Roman" w:cstheme="minorHAnsi"/>
        </w:rPr>
        <w:lastRenderedPageBreak/>
        <w:t>rudniških ugreznin, kjer je nastalo tudi odlagališče elektrofiltrskega pepela, ki leži nad odkopnim območjem PV.</w:t>
      </w:r>
      <w:r w:rsidRPr="0024462C">
        <w:rPr>
          <w:rFonts w:cs="Times New Roman"/>
        </w:rPr>
        <w:t xml:space="preserve"> </w:t>
      </w:r>
      <w:r w:rsidRPr="0024462C">
        <w:rPr>
          <w:rFonts w:eastAsia="Times New Roman" w:cstheme="minorHAnsi"/>
        </w:rPr>
        <w:t xml:space="preserve">Kljub nenehnemu saniranju in odpravljanju posledic ugrezanja, kar je v preteklosti financiral Premogovnik Velenje, prihaja do pogrezanja in premikov pregrade, kar predstavlja potencialno poplavno nevarnost.  </w:t>
      </w:r>
    </w:p>
    <w:p w:rsidR="0024462C" w:rsidRPr="0024462C" w:rsidRDefault="0024462C" w:rsidP="0024462C">
      <w:pPr>
        <w:spacing w:after="0" w:line="276" w:lineRule="auto"/>
        <w:contextualSpacing/>
        <w:jc w:val="both"/>
        <w:rPr>
          <w:rFonts w:eastAsia="Times New Roman" w:cstheme="minorHAnsi"/>
        </w:rPr>
      </w:pPr>
    </w:p>
    <w:p w:rsidR="0024462C" w:rsidRPr="0024462C" w:rsidRDefault="0024462C" w:rsidP="0024462C">
      <w:pPr>
        <w:spacing w:after="0" w:line="276" w:lineRule="auto"/>
        <w:jc w:val="both"/>
        <w:rPr>
          <w:rFonts w:cstheme="minorHAnsi"/>
        </w:rPr>
      </w:pPr>
      <w:r w:rsidRPr="0024462C">
        <w:rPr>
          <w:rFonts w:ascii="Calibri" w:eastAsia="Calibri" w:hAnsi="Calibri" w:cs="Calibri"/>
          <w:color w:val="000000"/>
        </w:rPr>
        <w:t xml:space="preserve">Vplivi odvisnosti od premoga so v lokalnem okolju torej izraziti, </w:t>
      </w:r>
      <w:r w:rsidRPr="0024462C">
        <w:rPr>
          <w:rFonts w:cstheme="minorHAnsi"/>
        </w:rPr>
        <w:t xml:space="preserve">zato bomo k pravičnemu izstopu regije iz premoga, prispevali tudi s sprejemom zakonov o gospodarskem prestrukturiranju regije in zapiranju premogovnika, kot je predvideno v Celovitem nacionalnem energetskem in podnebnem načrtu (NEPN). </w:t>
      </w:r>
    </w:p>
    <w:p w:rsidR="001C2B48" w:rsidRDefault="001C2B48">
      <w:bookmarkStart w:id="0" w:name="_GoBack"/>
    </w:p>
    <w:p w:rsidR="001C2B48" w:rsidRDefault="001C2B48" w:rsidP="001C2B48">
      <w:pPr>
        <w:jc w:val="both"/>
      </w:pPr>
      <w:r>
        <w:t xml:space="preserve">V </w:t>
      </w:r>
      <w:r w:rsidRPr="007043D2">
        <w:rPr>
          <w:b/>
        </w:rPr>
        <w:t xml:space="preserve">Zasavski premogovni regiji </w:t>
      </w:r>
      <w:r>
        <w:t>se je izstop iz premoga začel leta 1999, ko rezultati referenduma niso podprli gradnje tretjega bloka Termoelektrarne Trbovlje (v nadaljevanju TET). Ker je bilo poslovanje bližnjega premogovnika Trbovlje-Hrastnik (v nadaljevanju: RTH) tesno povezano s TET, je bila sprejeta tudi odločitev o zaprtju rudnika. Vodstvo RTH je na zahtevo Vlade RS objavilo študijo, ki je ocenila stroške zapiranja RTH do konca leta 2015. Ocena je temeljila na idejnih zasnovah obstoječih načinov zapiranja rudnika ter ekološke in prostorske sanacije površine. Leta 2000 je bil sprejet (in pozneje spremenjen) Zakon o ureditvi postopnega zapiranja Rudnika Trbovlje-Hrastnik in gospodarskega prestrukturiranja regije. Leta 2005 so se začela zapiralna dela, v letu 2013 pa so se rudarske dejavnosti zaustavile, v letu 2014 je z delovanjem prenehala tudi TET. V letu 2020 so bila izvedena vsa potrebna zapiralna in sanacijska dela. Ker je obseg del in stroškov presegel načrtovano v srednjeročnem programu, je ostalo še nekaj manj potrebnih zapiralnih in sanacijskih del – predvsem na področju obnove infrastrukture. Datum dokončne sanacije je odvisen od razpoložljivih sredstev, upravnih postopkov ali tehničnih pregledov. Realno bi lahko sanacijska dela izvedli do konca leta 2022; tehnične preglede in odpravo pomanjkljivosti v letu 2023 ter zaključek upravnih postopkov in izbris iz registra do konca leta 2024.</w:t>
      </w:r>
    </w:p>
    <w:p w:rsidR="001C2B48" w:rsidRDefault="001C2B48" w:rsidP="001C2B48">
      <w:pPr>
        <w:jc w:val="both"/>
      </w:pPr>
      <w:r>
        <w:t>Regija se še vedno sooča s strukturnimi problemi, značilnimi za regije, kjer sta se izkoriščanje in raba premoga zaključili. Problemi so, kot že omenjeno, posledica dejstva, da se pri prestrukturiranju načela pravičnega prehoda niso ustrezno upoštevala – niti pri zapiranju premogovnika niti pri zagotavljanju novih delovnih mest in diverzifikaciji regijskega gospodarstva. Od začetka zapiralnih del do leta 2021 je regija namreč izgubila več kot 20 % delovnih mest in utrpela tudi 11 % depopulacijo. Poleg aktivnosti, ki so bile ozko usmerjene v postopke zapiranja rudnikov in omilitev izzivov, povezanih s socialnim statusom presežnih delavcev, so se sicer izvajali tudi ukrepi gospodarskega prestrukturiranja, ki pa niso zagotovili ustreznega gospodarskega okrevanja regije. Tako so socialno-ekonomski vidiki tranzicije ostali nerešeni</w:t>
      </w:r>
      <w:r>
        <w:rPr>
          <w:rStyle w:val="Sprotnaopomba-sklic"/>
        </w:rPr>
        <w:footnoteReference w:id="4"/>
      </w:r>
      <w:r>
        <w:t>.</w:t>
      </w:r>
      <w:bookmarkEnd w:id="0"/>
    </w:p>
    <w:sectPr w:rsidR="001C2B48" w:rsidSect="00EF3B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2C" w:rsidRDefault="0024462C" w:rsidP="0024462C">
      <w:pPr>
        <w:spacing w:after="0" w:line="240" w:lineRule="auto"/>
      </w:pPr>
      <w:r>
        <w:separator/>
      </w:r>
    </w:p>
  </w:endnote>
  <w:endnote w:type="continuationSeparator" w:id="0">
    <w:p w:rsidR="0024462C" w:rsidRDefault="0024462C" w:rsidP="0024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3610"/>
      <w:docPartObj>
        <w:docPartGallery w:val="Page Numbers (Bottom of Page)"/>
        <w:docPartUnique/>
      </w:docPartObj>
    </w:sdtPr>
    <w:sdtEndPr/>
    <w:sdtContent>
      <w:p w:rsidR="0024462C" w:rsidRDefault="0024462C">
        <w:pPr>
          <w:pStyle w:val="Noga"/>
          <w:jc w:val="center"/>
        </w:pPr>
        <w:r w:rsidRPr="002970DA">
          <w:rPr>
            <w:sz w:val="20"/>
          </w:rPr>
          <w:fldChar w:fldCharType="begin"/>
        </w:r>
        <w:r w:rsidRPr="002970DA">
          <w:rPr>
            <w:sz w:val="20"/>
          </w:rPr>
          <w:instrText>PAGE   \* MERGEFORMAT</w:instrText>
        </w:r>
        <w:r w:rsidRPr="002970DA">
          <w:rPr>
            <w:sz w:val="20"/>
          </w:rPr>
          <w:fldChar w:fldCharType="separate"/>
        </w:r>
        <w:r w:rsidR="00C85BF1">
          <w:rPr>
            <w:noProof/>
            <w:sz w:val="20"/>
          </w:rPr>
          <w:t>7</w:t>
        </w:r>
        <w:r w:rsidRPr="002970DA">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2C" w:rsidRDefault="0024462C" w:rsidP="0024462C">
      <w:pPr>
        <w:spacing w:after="0" w:line="240" w:lineRule="auto"/>
      </w:pPr>
      <w:r>
        <w:separator/>
      </w:r>
    </w:p>
  </w:footnote>
  <w:footnote w:type="continuationSeparator" w:id="0">
    <w:p w:rsidR="0024462C" w:rsidRDefault="0024462C" w:rsidP="0024462C">
      <w:pPr>
        <w:spacing w:after="0" w:line="240" w:lineRule="auto"/>
      </w:pPr>
      <w:r>
        <w:continuationSeparator/>
      </w:r>
    </w:p>
  </w:footnote>
  <w:footnote w:id="1">
    <w:p w:rsidR="0024462C" w:rsidRPr="00884680" w:rsidRDefault="0024462C" w:rsidP="0024462C">
      <w:pPr>
        <w:pStyle w:val="Sprotnaopomba-besedilo"/>
      </w:pPr>
      <w:r>
        <w:rPr>
          <w:rStyle w:val="Sprotnaopomba-sklic"/>
        </w:rPr>
        <w:footnoteRef/>
      </w:r>
      <w:r>
        <w:t xml:space="preserve"> </w:t>
      </w:r>
      <w:r w:rsidRPr="00820F93">
        <w:rPr>
          <w:sz w:val="16"/>
          <w:szCs w:val="16"/>
        </w:rPr>
        <w:t>ORP SAŠA 2021-2027</w:t>
      </w:r>
    </w:p>
  </w:footnote>
  <w:footnote w:id="2">
    <w:p w:rsidR="0024462C" w:rsidRPr="001049C0" w:rsidRDefault="0024462C" w:rsidP="0024462C">
      <w:pPr>
        <w:pStyle w:val="Sprotnaopomba-besedilo"/>
        <w:rPr>
          <w:sz w:val="16"/>
          <w:szCs w:val="16"/>
        </w:rPr>
      </w:pPr>
      <w:r w:rsidRPr="001049C0">
        <w:rPr>
          <w:rStyle w:val="Sprotnaopomba-sklic"/>
          <w:sz w:val="16"/>
          <w:szCs w:val="16"/>
        </w:rPr>
        <w:footnoteRef/>
      </w:r>
      <w:r w:rsidRPr="001049C0">
        <w:rPr>
          <w:sz w:val="16"/>
          <w:szCs w:val="16"/>
        </w:rPr>
        <w:t xml:space="preserve"> Delloitte &amp; Touche</w:t>
      </w:r>
    </w:p>
  </w:footnote>
  <w:footnote w:id="3">
    <w:p w:rsidR="0024462C" w:rsidRPr="00A72D2B" w:rsidRDefault="0024462C" w:rsidP="0024462C">
      <w:pPr>
        <w:pStyle w:val="Sprotnaopomba-besedilo"/>
      </w:pPr>
      <w:r w:rsidRPr="001049C0">
        <w:rPr>
          <w:rStyle w:val="Sprotnaopomba-sklic"/>
          <w:sz w:val="16"/>
          <w:szCs w:val="16"/>
        </w:rPr>
        <w:footnoteRef/>
      </w:r>
      <w:r w:rsidRPr="001049C0">
        <w:rPr>
          <w:sz w:val="16"/>
          <w:szCs w:val="16"/>
        </w:rPr>
        <w:t xml:space="preserve"> Action plan for Savinjsko – Šaleška Coal Region in Transition, Deloitte, May 2021</w:t>
      </w:r>
    </w:p>
  </w:footnote>
  <w:footnote w:id="4">
    <w:p w:rsidR="001C2B48" w:rsidRDefault="001C2B48">
      <w:pPr>
        <w:pStyle w:val="Sprotnaopomba-besedilo"/>
      </w:pPr>
      <w:r>
        <w:rPr>
          <w:rStyle w:val="Sprotnaopomba-sklic"/>
        </w:rPr>
        <w:footnoteRef/>
      </w:r>
      <w:r>
        <w:t xml:space="preserve"> </w:t>
      </w:r>
      <w:r w:rsidRPr="001C2B48">
        <w:t>Nacionalna strategija za izstop iz premoga in prestrukturiranje premogovnih regij v skladu z načeli pravičnega prehoda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Pr="0024462C" w:rsidRDefault="0024462C" w:rsidP="0024462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522CA9"/>
    <w:multiLevelType w:val="hybridMultilevel"/>
    <w:tmpl w:val="39A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2C"/>
    <w:rsid w:val="001970AB"/>
    <w:rsid w:val="001C2B48"/>
    <w:rsid w:val="00205C3B"/>
    <w:rsid w:val="0024462C"/>
    <w:rsid w:val="003B2FA7"/>
    <w:rsid w:val="007043D2"/>
    <w:rsid w:val="00744541"/>
    <w:rsid w:val="00924221"/>
    <w:rsid w:val="009726F9"/>
    <w:rsid w:val="009F465B"/>
    <w:rsid w:val="00AB2AA0"/>
    <w:rsid w:val="00C85BF1"/>
    <w:rsid w:val="00DD6BA2"/>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629E"/>
  <w15:chartTrackingRefBased/>
  <w15:docId w15:val="{FA0EEB48-47B6-4636-A8D7-3CF9582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24462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4462C"/>
    <w:rPr>
      <w:sz w:val="20"/>
      <w:szCs w:val="20"/>
    </w:rPr>
  </w:style>
  <w:style w:type="table" w:styleId="Tabelamrea">
    <w:name w:val="Table Grid"/>
    <w:basedOn w:val="Navadnatabela"/>
    <w:uiPriority w:val="39"/>
    <w:rsid w:val="002446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BVI fnr,Footnote Reference Number,Footnote Reference_LVL6,Footnote Reference_LVL61,Footnote Reference_LVL62,Footnote Reference_LVL63,Footnote Reference_LVL64,fr,Ref,de nota al pie,Ref1,de nota al pie1,Ref2,de nota al pie2,Ref11"/>
    <w:basedOn w:val="Privzetapisavaodstavka"/>
    <w:uiPriority w:val="99"/>
    <w:unhideWhenUsed/>
    <w:qFormat/>
    <w:rsid w:val="0024462C"/>
    <w:rPr>
      <w:vertAlign w:val="superscript"/>
    </w:rPr>
  </w:style>
  <w:style w:type="paragraph" w:styleId="Glava">
    <w:name w:val="header"/>
    <w:basedOn w:val="Navaden"/>
    <w:link w:val="GlavaZnak"/>
    <w:uiPriority w:val="99"/>
    <w:unhideWhenUsed/>
    <w:rsid w:val="0024462C"/>
    <w:pPr>
      <w:tabs>
        <w:tab w:val="center" w:pos="4536"/>
        <w:tab w:val="right" w:pos="9072"/>
      </w:tabs>
      <w:spacing w:after="0" w:line="240" w:lineRule="auto"/>
      <w:jc w:val="both"/>
    </w:pPr>
    <w:rPr>
      <w:rFonts w:ascii="Times New Roman" w:hAnsi="Times New Roman" w:cs="Times New Roman"/>
      <w:sz w:val="24"/>
    </w:rPr>
  </w:style>
  <w:style w:type="character" w:customStyle="1" w:styleId="GlavaZnak">
    <w:name w:val="Glava Znak"/>
    <w:basedOn w:val="Privzetapisavaodstavka"/>
    <w:link w:val="Glava"/>
    <w:uiPriority w:val="99"/>
    <w:rsid w:val="0024462C"/>
    <w:rPr>
      <w:rFonts w:ascii="Times New Roman" w:hAnsi="Times New Roman" w:cs="Times New Roman"/>
      <w:sz w:val="24"/>
    </w:rPr>
  </w:style>
  <w:style w:type="paragraph" w:styleId="Noga">
    <w:name w:val="footer"/>
    <w:basedOn w:val="Navaden"/>
    <w:link w:val="NogaZnak"/>
    <w:uiPriority w:val="99"/>
    <w:unhideWhenUsed/>
    <w:rsid w:val="0024462C"/>
    <w:pPr>
      <w:tabs>
        <w:tab w:val="center" w:pos="4536"/>
        <w:tab w:val="right" w:pos="9072"/>
      </w:tabs>
      <w:spacing w:after="0" w:line="240" w:lineRule="auto"/>
      <w:jc w:val="both"/>
    </w:pPr>
    <w:rPr>
      <w:rFonts w:ascii="Times New Roman" w:hAnsi="Times New Roman" w:cs="Times New Roman"/>
      <w:sz w:val="24"/>
    </w:rPr>
  </w:style>
  <w:style w:type="character" w:customStyle="1" w:styleId="NogaZnak">
    <w:name w:val="Noga Znak"/>
    <w:basedOn w:val="Privzetapisavaodstavka"/>
    <w:link w:val="Noga"/>
    <w:uiPriority w:val="99"/>
    <w:rsid w:val="0024462C"/>
    <w:rPr>
      <w:rFonts w:ascii="Times New Roman" w:hAnsi="Times New Roman" w:cs="Times New Roman"/>
      <w:sz w:val="24"/>
    </w:rPr>
  </w:style>
  <w:style w:type="paragraph" w:styleId="Besedilooblaka">
    <w:name w:val="Balloon Text"/>
    <w:basedOn w:val="Navaden"/>
    <w:link w:val="BesedilooblakaZnak"/>
    <w:uiPriority w:val="99"/>
    <w:semiHidden/>
    <w:unhideWhenUsed/>
    <w:rsid w:val="001C2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2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96E7EF-6B3A-4757-9E6E-E729B920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15704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2</cp:revision>
  <dcterms:created xsi:type="dcterms:W3CDTF">2022-11-29T09:23:00Z</dcterms:created>
  <dcterms:modified xsi:type="dcterms:W3CDTF">2022-11-29T09:23:00Z</dcterms:modified>
</cp:coreProperties>
</file>